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1EC" w:rsidRPr="009C21EC" w:rsidRDefault="009C21EC" w:rsidP="009C21EC">
      <w:pPr>
        <w:jc w:val="center"/>
        <w:rPr>
          <w:b/>
          <w:bCs/>
        </w:rPr>
      </w:pPr>
      <w:r w:rsidRPr="009C21EC">
        <w:rPr>
          <w:b/>
          <w:bCs/>
        </w:rPr>
        <w:t>Action on Access eBulletin editorial – March 2026</w:t>
      </w:r>
    </w:p>
    <w:p w:rsidR="009C21EC" w:rsidRDefault="009C21EC"/>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Spring is upon us.</w:t>
      </w:r>
      <w:r>
        <w:rPr>
          <w:rFonts w:ascii="Leelawadee" w:hAnsi="Leelawadee" w:cs="Leelawadee"/>
          <w:color w:val="000000"/>
          <w:sz w:val="20"/>
          <w:szCs w:val="20"/>
        </w:rPr>
        <w:t xml:space="preserve"> </w:t>
      </w:r>
      <w:r w:rsidRPr="0015064A">
        <w:rPr>
          <w:rFonts w:ascii="Leelawadee" w:hAnsi="Leelawadee" w:cs="Leelawadee" w:hint="cs"/>
          <w:color w:val="000000"/>
          <w:sz w:val="20"/>
          <w:szCs w:val="20"/>
        </w:rPr>
        <w:t xml:space="preserve"> I am starting this editorial with a thank you and a plea.  Thank you to all the people who use our </w:t>
      </w:r>
      <w:r w:rsidRPr="00DC6FED">
        <w:rPr>
          <w:rFonts w:ascii="Leelawadee" w:hAnsi="Leelawadee" w:cs="Leelawadee" w:hint="cs"/>
          <w:b/>
          <w:bCs/>
          <w:color w:val="538135" w:themeColor="accent6" w:themeShade="BF"/>
          <w:sz w:val="20"/>
          <w:szCs w:val="20"/>
        </w:rPr>
        <w:t>A</w:t>
      </w:r>
      <w:r w:rsidRPr="00DC6FED">
        <w:rPr>
          <w:rFonts w:ascii="Leelawadee" w:hAnsi="Leelawadee" w:cs="Leelawadee" w:hint="cs"/>
          <w:b/>
          <w:bCs/>
          <w:color w:val="538135" w:themeColor="accent6" w:themeShade="BF"/>
          <w:sz w:val="20"/>
          <w:szCs w:val="20"/>
          <w:u w:val="single"/>
        </w:rPr>
        <w:t>c</w:t>
      </w:r>
      <w:r w:rsidRPr="00DC6FED">
        <w:rPr>
          <w:rFonts w:ascii="Leelawadee" w:hAnsi="Leelawadee" w:cs="Leelawadee" w:hint="cs"/>
          <w:b/>
          <w:bCs/>
          <w:color w:val="538135" w:themeColor="accent6" w:themeShade="BF"/>
          <w:sz w:val="20"/>
          <w:szCs w:val="20"/>
        </w:rPr>
        <w:t>tion on Access Information Hub and Email Briefing Service</w:t>
      </w:r>
      <w:r w:rsidRPr="0015064A">
        <w:rPr>
          <w:rFonts w:ascii="Leelawadee" w:hAnsi="Leelawadee" w:cs="Leelawadee" w:hint="cs"/>
          <w:color w:val="000000"/>
          <w:sz w:val="20"/>
          <w:szCs w:val="20"/>
        </w:rPr>
        <w:t xml:space="preserve">; who have benefitted from this service since its inception in the Autumn of 2022.  </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 xml:space="preserve">We are growing … but more slowly than I would have liked.  We are increasing our registered users daily but our subscriptions are remaining fairly static.  In recent months, one or two universities have felt reluctantly that their budgets have not been able to accommodate the (very reasonable) £325 annual subscription - which I (and many others) believe to be of enormous value to the sector. (Incidentally, we have not raised subscription rates for four years).  </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 xml:space="preserve">I do realise that university budgets, at this time, are cut to the bone, however, the Action on Access eBulletin, the Vacancies eBulletin and Events eBulletin provide our Network with a huge amount of pertinent information and keep everyone abreast of the constant and important changes in the sector.  Our service additionally facilitates sectoral calls for papers and proposals for conferences; contributions, to surveys and research; and to Consultations.  Our </w:t>
      </w:r>
      <w:r w:rsidRPr="0015064A">
        <w:rPr>
          <w:rFonts w:ascii="Leelawadee" w:hAnsi="Leelawadee" w:cs="Leelawadee" w:hint="cs"/>
          <w:b/>
          <w:bCs/>
          <w:i/>
          <w:iCs/>
          <w:color w:val="FFC000"/>
          <w:sz w:val="20"/>
          <w:szCs w:val="20"/>
        </w:rPr>
        <w:t>eBulletin</w:t>
      </w:r>
      <w:r w:rsidRPr="0015064A">
        <w:rPr>
          <w:rFonts w:ascii="Leelawadee" w:hAnsi="Leelawadee" w:cs="Leelawadee" w:hint="cs"/>
          <w:color w:val="000000"/>
          <w:sz w:val="20"/>
          <w:szCs w:val="20"/>
        </w:rPr>
        <w:t xml:space="preserve"> boosts interest in courses and programmes; vacancies and events.  We are the only service of its kind, delivering constant, current information direct to your Inbox. </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 xml:space="preserve">In order to maintain this high level as an information provider; and continue to develop the Network with the </w:t>
      </w:r>
      <w:proofErr w:type="gramStart"/>
      <w:r w:rsidRPr="0015064A">
        <w:rPr>
          <w:rFonts w:ascii="Leelawadee" w:hAnsi="Leelawadee" w:cs="Leelawadee" w:hint="cs"/>
          <w:color w:val="000000"/>
          <w:sz w:val="20"/>
          <w:szCs w:val="20"/>
        </w:rPr>
        <w:t>high quality</w:t>
      </w:r>
      <w:proofErr w:type="gramEnd"/>
      <w:r w:rsidRPr="0015064A">
        <w:rPr>
          <w:rFonts w:ascii="Leelawadee" w:hAnsi="Leelawadee" w:cs="Leelawadee" w:hint="cs"/>
          <w:color w:val="000000"/>
          <w:sz w:val="20"/>
          <w:szCs w:val="20"/>
        </w:rPr>
        <w:t xml:space="preserve"> service that we currently offer, we need to increase our subscriber base.  Therefore I am asking you existing subscribers to spread the word about the value of our service to colleagues in non-subscribing universities and colleges by asking them to take out a subscription (</w:t>
      </w:r>
      <w:hyperlink r:id="rId5" w:history="1">
        <w:r w:rsidRPr="00DC6FED">
          <w:rPr>
            <w:rStyle w:val="Hyperlink"/>
            <w:rFonts w:ascii="Leelawadee" w:hAnsi="Leelawadee" w:cs="Leelawadee" w:hint="cs"/>
            <w:color w:val="538135" w:themeColor="accent6" w:themeShade="BF"/>
            <w:sz w:val="20"/>
            <w:szCs w:val="20"/>
          </w:rPr>
          <w:t>here</w:t>
        </w:r>
      </w:hyperlink>
      <w:r w:rsidRPr="0015064A">
        <w:rPr>
          <w:rFonts w:ascii="Leelawadee" w:hAnsi="Leelawadee" w:cs="Leelawadee" w:hint="cs"/>
          <w:color w:val="000000"/>
          <w:sz w:val="20"/>
          <w:szCs w:val="20"/>
        </w:rPr>
        <w:t>) and please continue to encourage your colleagues to register as users of the service.</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 xml:space="preserve">Secondly, I would like you to admire the new, easier to navigate formatting of the </w:t>
      </w:r>
      <w:r w:rsidRPr="00DC6FED">
        <w:rPr>
          <w:rFonts w:ascii="Leelawadee" w:hAnsi="Leelawadee" w:cs="Leelawadee" w:hint="cs"/>
          <w:b/>
          <w:bCs/>
          <w:i/>
          <w:iCs/>
          <w:color w:val="538135" w:themeColor="accent6" w:themeShade="BF"/>
          <w:sz w:val="20"/>
          <w:szCs w:val="20"/>
        </w:rPr>
        <w:t>Action on Access</w:t>
      </w:r>
      <w:r w:rsidRPr="0015064A">
        <w:rPr>
          <w:rFonts w:ascii="Leelawadee" w:hAnsi="Leelawadee" w:cs="Leelawadee" w:hint="cs"/>
          <w:color w:val="000000"/>
          <w:sz w:val="20"/>
          <w:szCs w:val="20"/>
        </w:rPr>
        <w:t xml:space="preserve"> </w:t>
      </w:r>
      <w:r w:rsidRPr="0015064A">
        <w:rPr>
          <w:rFonts w:ascii="Leelawadee" w:hAnsi="Leelawadee" w:cs="Leelawadee" w:hint="cs"/>
          <w:b/>
          <w:bCs/>
          <w:i/>
          <w:iCs/>
          <w:color w:val="FFC000"/>
          <w:sz w:val="20"/>
          <w:szCs w:val="20"/>
        </w:rPr>
        <w:t>eBulletin</w:t>
      </w:r>
      <w:r w:rsidRPr="0015064A">
        <w:rPr>
          <w:rFonts w:ascii="Leelawadee" w:hAnsi="Leelawadee" w:cs="Leelawadee" w:hint="cs"/>
          <w:color w:val="000000"/>
          <w:sz w:val="20"/>
          <w:szCs w:val="20"/>
        </w:rPr>
        <w:t>.   We listened to your feedback and hope you approve.  Let me know if you have any comment.  As the e</w:t>
      </w:r>
      <w:r w:rsidRPr="0015064A">
        <w:rPr>
          <w:rFonts w:ascii="Leelawadee" w:hAnsi="Leelawadee" w:cs="Leelawadee" w:hint="cs"/>
          <w:b/>
          <w:bCs/>
          <w:i/>
          <w:iCs/>
          <w:color w:val="FFC000"/>
          <w:sz w:val="20"/>
          <w:szCs w:val="20"/>
        </w:rPr>
        <w:t xml:space="preserve">Bulletin </w:t>
      </w:r>
      <w:r w:rsidRPr="0015064A">
        <w:rPr>
          <w:rFonts w:ascii="Leelawadee" w:hAnsi="Leelawadee" w:cs="Leelawadee" w:hint="cs"/>
          <w:color w:val="000000"/>
          <w:sz w:val="20"/>
          <w:szCs w:val="20"/>
        </w:rPr>
        <w:t xml:space="preserve">continues to include an increased amount of content, these changes should help to navigate and discover items pertinent to your role.  Our aim, as always, is to give you the wider context and view of what’s happening so please do explore the whole content.  </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b/>
          <w:bCs/>
          <w:i/>
          <w:iCs/>
          <w:color w:val="FFC000"/>
          <w:sz w:val="20"/>
          <w:szCs w:val="20"/>
        </w:rPr>
      </w:pPr>
      <w:r w:rsidRPr="0015064A">
        <w:rPr>
          <w:rFonts w:ascii="Leelawadee" w:hAnsi="Leelawadee" w:cs="Leelawadee" w:hint="cs"/>
          <w:color w:val="000000"/>
          <w:sz w:val="20"/>
          <w:szCs w:val="20"/>
        </w:rPr>
        <w:t xml:space="preserve">Thirdly, I would like to draw your attention to some of the content in this month’s </w:t>
      </w:r>
      <w:r w:rsidRPr="0015064A">
        <w:rPr>
          <w:rFonts w:ascii="Leelawadee" w:hAnsi="Leelawadee" w:cs="Leelawadee" w:hint="cs"/>
          <w:b/>
          <w:bCs/>
          <w:i/>
          <w:iCs/>
          <w:color w:val="FFC000"/>
          <w:sz w:val="20"/>
          <w:szCs w:val="20"/>
        </w:rPr>
        <w:t xml:space="preserve">eBulletin.  </w:t>
      </w:r>
    </w:p>
    <w:p w:rsidR="009C21EC" w:rsidRPr="0015064A" w:rsidRDefault="009C21EC" w:rsidP="009C21EC">
      <w:pPr>
        <w:rPr>
          <w:rFonts w:ascii="Leelawadee" w:hAnsi="Leelawadee" w:cs="Leelawadee" w:hint="cs"/>
          <w:b/>
          <w:bCs/>
          <w:i/>
          <w:iCs/>
          <w:color w:val="FFC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sz w:val="20"/>
          <w:szCs w:val="20"/>
        </w:rPr>
        <w:t>There are a multitude of opinions and voices represented as to how to fix the funding of Higher Education and student finance</w:t>
      </w:r>
      <w:r w:rsidRPr="0015064A">
        <w:rPr>
          <w:rFonts w:ascii="Leelawadee" w:hAnsi="Leelawadee" w:cs="Leelawadee" w:hint="cs"/>
          <w:color w:val="000000" w:themeColor="text1"/>
          <w:sz w:val="20"/>
          <w:szCs w:val="20"/>
        </w:rPr>
        <w:t xml:space="preserve">.  </w:t>
      </w:r>
      <w:r w:rsidRPr="0015064A">
        <w:rPr>
          <w:rFonts w:ascii="Leelawadee" w:hAnsi="Leelawadee" w:cs="Leelawadee" w:hint="cs"/>
          <w:color w:val="000000"/>
          <w:sz w:val="20"/>
          <w:szCs w:val="20"/>
        </w:rPr>
        <w:t xml:space="preserve">Don’t miss the two blogs by Hana </w:t>
      </w:r>
      <w:proofErr w:type="spellStart"/>
      <w:r w:rsidRPr="0015064A">
        <w:rPr>
          <w:rFonts w:ascii="Leelawadee" w:hAnsi="Leelawadee" w:cs="Leelawadee" w:hint="cs"/>
          <w:color w:val="000000"/>
          <w:sz w:val="20"/>
          <w:szCs w:val="20"/>
        </w:rPr>
        <w:t>Rolley</w:t>
      </w:r>
      <w:proofErr w:type="spellEnd"/>
      <w:r w:rsidRPr="0015064A">
        <w:rPr>
          <w:rFonts w:ascii="Leelawadee" w:hAnsi="Leelawadee" w:cs="Leelawadee" w:hint="cs"/>
          <w:color w:val="000000"/>
          <w:sz w:val="20"/>
          <w:szCs w:val="20"/>
        </w:rPr>
        <w:t xml:space="preserve">, Head of Access, Trinity College Oxford, describing how the HE choices of </w:t>
      </w:r>
      <w:proofErr w:type="gramStart"/>
      <w:r w:rsidRPr="0015064A">
        <w:rPr>
          <w:rFonts w:ascii="Leelawadee" w:hAnsi="Leelawadee" w:cs="Leelawadee" w:hint="cs"/>
          <w:color w:val="000000"/>
          <w:sz w:val="20"/>
          <w:szCs w:val="20"/>
        </w:rPr>
        <w:t>working class</w:t>
      </w:r>
      <w:proofErr w:type="gramEnd"/>
      <w:r w:rsidRPr="0015064A">
        <w:rPr>
          <w:rFonts w:ascii="Leelawadee" w:hAnsi="Leelawadee" w:cs="Leelawadee" w:hint="cs"/>
          <w:color w:val="000000"/>
          <w:sz w:val="20"/>
          <w:szCs w:val="20"/>
        </w:rPr>
        <w:t xml:space="preserve"> pupils’ (and therefore life chances) can be severely restricted both in schools and the wider social context; and how the student loan system protects inherited advantage in contradistinction to those students from poorer backgrounds who borrow the maximum, accrue interest from the moment they enrol, and repay for decades.</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color w:val="000000"/>
          <w:sz w:val="20"/>
          <w:szCs w:val="20"/>
        </w:rPr>
      </w:pPr>
      <w:r w:rsidRPr="0015064A">
        <w:rPr>
          <w:rFonts w:ascii="Leelawadee" w:hAnsi="Leelawadee" w:cs="Leelawadee" w:hint="cs"/>
          <w:color w:val="000000" w:themeColor="text1"/>
          <w:sz w:val="20"/>
          <w:szCs w:val="20"/>
        </w:rPr>
        <w:t xml:space="preserve">There has been </w:t>
      </w:r>
      <w:r w:rsidRPr="0015064A">
        <w:rPr>
          <w:rFonts w:ascii="Leelawadee" w:hAnsi="Leelawadee" w:cs="Leelawadee" w:hint="cs"/>
          <w:color w:val="000000"/>
          <w:sz w:val="20"/>
          <w:szCs w:val="20"/>
        </w:rPr>
        <w:t>a lot of advice and guidance published in the last four weeks:</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 xml:space="preserve">the Office for Students on KPIs, disability recognition and support and safeguarding the interests of students studying under </w:t>
      </w:r>
      <w:proofErr w:type="spellStart"/>
      <w:r w:rsidRPr="0015064A">
        <w:rPr>
          <w:rFonts w:ascii="Leelawadee" w:eastAsiaTheme="minorHAnsi" w:hAnsi="Leelawadee" w:cs="Leelawadee" w:hint="cs"/>
          <w:color w:val="000000"/>
          <w:sz w:val="20"/>
          <w:szCs w:val="20"/>
        </w:rPr>
        <w:t>subcontractual</w:t>
      </w:r>
      <w:proofErr w:type="spellEnd"/>
      <w:r w:rsidRPr="0015064A">
        <w:rPr>
          <w:rFonts w:ascii="Leelawadee" w:eastAsiaTheme="minorHAnsi" w:hAnsi="Leelawadee" w:cs="Leelawadee" w:hint="cs"/>
          <w:color w:val="000000"/>
          <w:sz w:val="20"/>
          <w:szCs w:val="20"/>
        </w:rPr>
        <w:t xml:space="preserve"> arrangements</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TASO’s Higher Education Evaluation Library</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HEAT’s Post-Entry Essentials</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NERUPI’s Peer Evaluation course</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the new TEF data dashboard</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r w:rsidRPr="0015064A">
        <w:rPr>
          <w:rFonts w:ascii="Leelawadee" w:eastAsiaTheme="minorHAnsi" w:hAnsi="Leelawadee" w:cs="Leelawadee" w:hint="cs"/>
          <w:color w:val="000000"/>
          <w:sz w:val="20"/>
          <w:szCs w:val="20"/>
        </w:rPr>
        <w:t>Ofsted degree apprenticeship inspection</w:t>
      </w:r>
    </w:p>
    <w:p w:rsidR="009C21EC" w:rsidRPr="0015064A" w:rsidRDefault="009C21EC" w:rsidP="009C21EC">
      <w:pPr>
        <w:pStyle w:val="ListParagraph"/>
        <w:numPr>
          <w:ilvl w:val="0"/>
          <w:numId w:val="1"/>
        </w:numPr>
        <w:rPr>
          <w:rFonts w:ascii="Leelawadee" w:eastAsiaTheme="minorHAnsi" w:hAnsi="Leelawadee" w:cs="Leelawadee" w:hint="cs"/>
          <w:color w:val="000000"/>
          <w:sz w:val="20"/>
          <w:szCs w:val="20"/>
        </w:rPr>
      </w:pPr>
      <w:proofErr w:type="spellStart"/>
      <w:r w:rsidRPr="0015064A">
        <w:rPr>
          <w:rFonts w:ascii="Leelawadee" w:eastAsiaTheme="minorHAnsi" w:hAnsi="Leelawadee" w:cs="Leelawadee" w:hint="cs"/>
          <w:color w:val="000000"/>
          <w:sz w:val="20"/>
          <w:szCs w:val="20"/>
        </w:rPr>
        <w:t>UniTasterDays</w:t>
      </w:r>
      <w:proofErr w:type="spellEnd"/>
      <w:r w:rsidRPr="0015064A">
        <w:rPr>
          <w:rFonts w:ascii="Leelawadee" w:eastAsiaTheme="minorHAnsi" w:hAnsi="Leelawadee" w:cs="Leelawadee" w:hint="cs"/>
          <w:color w:val="000000"/>
          <w:sz w:val="20"/>
          <w:szCs w:val="20"/>
        </w:rPr>
        <w:t xml:space="preserve"> Student Guide 2026.</w:t>
      </w:r>
    </w:p>
    <w:p w:rsidR="009C21EC" w:rsidRPr="0015064A" w:rsidRDefault="009C21EC" w:rsidP="009C21EC">
      <w:pPr>
        <w:rPr>
          <w:rFonts w:ascii="Leelawadee" w:hAnsi="Leelawadee" w:cs="Leelawadee" w:hint="cs"/>
          <w:bCs/>
          <w:color w:val="000000"/>
          <w:sz w:val="20"/>
          <w:szCs w:val="20"/>
        </w:rPr>
      </w:pPr>
    </w:p>
    <w:p w:rsidR="009C21EC" w:rsidRPr="0015064A" w:rsidRDefault="009C21EC" w:rsidP="009C21EC">
      <w:pPr>
        <w:rPr>
          <w:rFonts w:ascii="Leelawadee" w:hAnsi="Leelawadee" w:cs="Leelawadee" w:hint="cs"/>
          <w:color w:val="000000"/>
          <w:sz w:val="20"/>
          <w:szCs w:val="20"/>
        </w:rPr>
      </w:pPr>
      <w:proofErr w:type="spellStart"/>
      <w:r w:rsidRPr="0015064A">
        <w:rPr>
          <w:rFonts w:ascii="Leelawadee" w:hAnsi="Leelawadee" w:cs="Leelawadee" w:hint="cs"/>
          <w:bCs/>
          <w:i/>
          <w:iCs/>
          <w:color w:val="000000"/>
          <w:sz w:val="20"/>
          <w:szCs w:val="20"/>
        </w:rPr>
        <w:lastRenderedPageBreak/>
        <w:t>UniTasterDays</w:t>
      </w:r>
      <w:proofErr w:type="spellEnd"/>
      <w:r w:rsidRPr="0015064A">
        <w:rPr>
          <w:rFonts w:ascii="Leelawadee" w:hAnsi="Leelawadee" w:cs="Leelawadee" w:hint="cs"/>
          <w:bCs/>
          <w:i/>
          <w:iCs/>
          <w:color w:val="000000"/>
          <w:sz w:val="20"/>
          <w:szCs w:val="20"/>
        </w:rPr>
        <w:t>’ Students’ Guide to University 2026</w:t>
      </w:r>
      <w:r w:rsidRPr="0015064A">
        <w:rPr>
          <w:rFonts w:ascii="Leelawadee" w:hAnsi="Leelawadee" w:cs="Leelawadee" w:hint="cs"/>
          <w:b/>
          <w:color w:val="000000"/>
          <w:sz w:val="20"/>
          <w:szCs w:val="20"/>
        </w:rPr>
        <w:t>,</w:t>
      </w:r>
      <w:r w:rsidRPr="0015064A">
        <w:rPr>
          <w:rFonts w:ascii="Leelawadee" w:hAnsi="Leelawadee" w:cs="Leelawadee" w:hint="cs"/>
          <w:color w:val="222222"/>
          <w:sz w:val="20"/>
          <w:szCs w:val="20"/>
        </w:rPr>
        <w:t xml:space="preserve"> is a great example of cross institutional collaboration.  Produced in collaboration with HELOA (the Higher Education Liaison Officers Association) and comprising content provided by over 80 University colleagues, this is a great resource to share and use with your schools and colleges.  And this year, it offers guidance to </w:t>
      </w:r>
      <w:r w:rsidRPr="00DC6FED">
        <w:rPr>
          <w:rFonts w:ascii="Leelawadee" w:hAnsi="Leelawadee" w:cs="Leelawadee" w:hint="cs"/>
          <w:b/>
          <w:bCs/>
          <w:i/>
          <w:iCs/>
          <w:color w:val="538135" w:themeColor="accent6" w:themeShade="BF"/>
          <w:sz w:val="20"/>
          <w:szCs w:val="20"/>
        </w:rPr>
        <w:t>Action on Access</w:t>
      </w:r>
      <w:r w:rsidRPr="00DC6FED">
        <w:rPr>
          <w:rFonts w:ascii="Leelawadee" w:hAnsi="Leelawadee" w:cs="Leelawadee" w:hint="cs"/>
          <w:color w:val="538135" w:themeColor="accent6" w:themeShade="BF"/>
          <w:sz w:val="20"/>
          <w:szCs w:val="20"/>
        </w:rPr>
        <w:t xml:space="preserve"> </w:t>
      </w:r>
      <w:r w:rsidRPr="0015064A">
        <w:rPr>
          <w:rFonts w:ascii="Leelawadee" w:hAnsi="Leelawadee" w:cs="Leelawadee" w:hint="cs"/>
          <w:color w:val="222222"/>
          <w:sz w:val="20"/>
          <w:szCs w:val="20"/>
        </w:rPr>
        <w:t xml:space="preserve">Network members on incorporating the Guide into University and College website.  This year too, mindful of the cost-of-living crisis, several articles are designed to help students overcome financial difficulty – student funding being a significant concern of institutions and politicians alike. Students and parents, carers, their teachers are taken through the process of </w:t>
      </w:r>
      <w:proofErr w:type="gramStart"/>
      <w:r w:rsidRPr="0015064A">
        <w:rPr>
          <w:rFonts w:ascii="Leelawadee" w:hAnsi="Leelawadee" w:cs="Leelawadee" w:hint="cs"/>
          <w:color w:val="222222"/>
          <w:sz w:val="20"/>
          <w:szCs w:val="20"/>
        </w:rPr>
        <w:t>University</w:t>
      </w:r>
      <w:proofErr w:type="gramEnd"/>
      <w:r w:rsidRPr="0015064A">
        <w:rPr>
          <w:rFonts w:ascii="Leelawadee" w:hAnsi="Leelawadee" w:cs="Leelawadee" w:hint="cs"/>
          <w:color w:val="222222"/>
          <w:sz w:val="20"/>
          <w:szCs w:val="20"/>
        </w:rPr>
        <w:t xml:space="preserve"> fairs and open days; how the applications system works, and how to intelligently research University options.  The Guide lays out the extensive and collaborative landscape of student support - reflecting the work we are all doing for fair access and participation.</w:t>
      </w:r>
    </w:p>
    <w:p w:rsidR="009C21EC" w:rsidRPr="0015064A" w:rsidRDefault="009C21EC" w:rsidP="009C21EC">
      <w:pPr>
        <w:rPr>
          <w:rFonts w:ascii="Leelawadee" w:hAnsi="Leelawadee" w:cs="Leelawadee" w:hint="cs"/>
          <w:color w:val="000000"/>
          <w:sz w:val="20"/>
          <w:szCs w:val="20"/>
        </w:rPr>
      </w:pPr>
    </w:p>
    <w:p w:rsidR="009C21EC" w:rsidRPr="0015064A" w:rsidRDefault="009C21EC" w:rsidP="009C21EC">
      <w:pPr>
        <w:rPr>
          <w:rFonts w:ascii="Leelawadee" w:hAnsi="Leelawadee" w:cs="Leelawadee" w:hint="cs"/>
          <w:sz w:val="20"/>
          <w:szCs w:val="20"/>
        </w:rPr>
      </w:pPr>
      <w:r w:rsidRPr="0015064A">
        <w:rPr>
          <w:rFonts w:ascii="Leelawadee" w:hAnsi="Leelawadee" w:cs="Leelawadee" w:hint="cs"/>
          <w:color w:val="000000"/>
          <w:sz w:val="20"/>
          <w:szCs w:val="20"/>
        </w:rPr>
        <w:t>Our</w:t>
      </w:r>
      <w:r w:rsidRPr="0015064A">
        <w:rPr>
          <w:rFonts w:ascii="Leelawadee" w:hAnsi="Leelawadee" w:cs="Leelawadee" w:hint="cs"/>
          <w:color w:val="000000" w:themeColor="text1"/>
          <w:sz w:val="20"/>
          <w:szCs w:val="20"/>
        </w:rPr>
        <w:t xml:space="preserve"> Guest Article this month is written by Lucy </w:t>
      </w:r>
      <w:proofErr w:type="spellStart"/>
      <w:r w:rsidRPr="0015064A">
        <w:rPr>
          <w:rFonts w:ascii="Leelawadee" w:hAnsi="Leelawadee" w:cs="Leelawadee" w:hint="cs"/>
          <w:color w:val="000000" w:themeColor="text1"/>
          <w:sz w:val="20"/>
          <w:szCs w:val="20"/>
        </w:rPr>
        <w:t>Haire</w:t>
      </w:r>
      <w:proofErr w:type="spellEnd"/>
      <w:r w:rsidRPr="0015064A">
        <w:rPr>
          <w:rFonts w:ascii="Leelawadee" w:hAnsi="Leelawadee" w:cs="Leelawadee" w:hint="cs"/>
          <w:color w:val="000000" w:themeColor="text1"/>
          <w:sz w:val="20"/>
          <w:szCs w:val="20"/>
        </w:rPr>
        <w:t xml:space="preserve">, Director of Sector Engagement at the UPP Foundation, a registered charity that offers grants to universities, charities and other Higher Education bodies.  Following the release of their </w:t>
      </w:r>
      <w:hyperlink r:id="rId6" w:history="1">
        <w:r w:rsidRPr="00DC6FED">
          <w:rPr>
            <w:rStyle w:val="Hyperlink"/>
            <w:rFonts w:ascii="Leelawadee" w:hAnsi="Leelawadee" w:cs="Leelawadee" w:hint="cs"/>
            <w:b w:val="0"/>
            <w:bCs/>
            <w:i/>
            <w:iCs/>
            <w:color w:val="538135" w:themeColor="accent6" w:themeShade="BF"/>
            <w:sz w:val="20"/>
            <w:szCs w:val="20"/>
          </w:rPr>
          <w:t>‘Mission Critical: six recommendations for the widening participation agenda ...’</w:t>
        </w:r>
      </w:hyperlink>
      <w:r w:rsidRPr="0015064A">
        <w:rPr>
          <w:rFonts w:ascii="Leelawadee" w:hAnsi="Leelawadee" w:cs="Leelawadee" w:hint="cs"/>
          <w:color w:val="000000" w:themeColor="text1"/>
          <w:sz w:val="20"/>
          <w:szCs w:val="20"/>
        </w:rPr>
        <w:t xml:space="preserve">, </w:t>
      </w:r>
      <w:proofErr w:type="spellStart"/>
      <w:r w:rsidRPr="0015064A">
        <w:rPr>
          <w:rFonts w:ascii="Leelawadee" w:hAnsi="Leelawadee" w:cs="Leelawadee" w:hint="cs"/>
          <w:color w:val="000000" w:themeColor="text1"/>
          <w:sz w:val="20"/>
          <w:szCs w:val="20"/>
        </w:rPr>
        <w:t>Haire</w:t>
      </w:r>
      <w:proofErr w:type="spellEnd"/>
      <w:r w:rsidRPr="0015064A">
        <w:rPr>
          <w:rFonts w:ascii="Leelawadee" w:hAnsi="Leelawadee" w:cs="Leelawadee" w:hint="cs"/>
          <w:color w:val="000000" w:themeColor="text1"/>
          <w:sz w:val="20"/>
          <w:szCs w:val="20"/>
        </w:rPr>
        <w:t xml:space="preserve"> gives a wide overview of the </w:t>
      </w:r>
      <w:r w:rsidRPr="0015064A">
        <w:rPr>
          <w:rFonts w:ascii="Leelawadee" w:hAnsi="Leelawadee" w:cs="Leelawadee" w:hint="cs"/>
          <w:sz w:val="20"/>
          <w:szCs w:val="20"/>
        </w:rPr>
        <w:t xml:space="preserve">significant time and expertise spent over many years in developing access and outreach programmes designed to support students from under-represented backgrounds.  </w:t>
      </w:r>
    </w:p>
    <w:p w:rsidR="009C21EC" w:rsidRPr="0015064A" w:rsidRDefault="009C21EC" w:rsidP="009C21EC">
      <w:pPr>
        <w:rPr>
          <w:rFonts w:ascii="Leelawadee" w:eastAsia="Times New Roman" w:hAnsi="Leelawadee" w:cs="Leelawadee" w:hint="cs"/>
          <w:sz w:val="20"/>
          <w:szCs w:val="20"/>
          <w:lang w:eastAsia="en-GB"/>
        </w:rPr>
      </w:pPr>
      <w:r w:rsidRPr="0015064A">
        <w:rPr>
          <w:rFonts w:ascii="Leelawadee" w:hAnsi="Leelawadee" w:cs="Leelawadee" w:hint="cs"/>
          <w:sz w:val="20"/>
          <w:szCs w:val="20"/>
        </w:rPr>
        <w:t xml:space="preserve">This includes Access and Participation Plans and the significant contribution of charitable organisations, such as the UPP Foundation.  She expresses her anger at current media and political comment on both this work and on the value of Higher Education generally.  She reiterates that Universities change lives and stresses the importance of </w:t>
      </w:r>
      <w:r w:rsidRPr="0015064A">
        <w:rPr>
          <w:rFonts w:ascii="Leelawadee" w:hAnsi="Leelawadee" w:cs="Leelawadee" w:hint="cs"/>
          <w:color w:val="000000" w:themeColor="text1"/>
          <w:sz w:val="20"/>
          <w:szCs w:val="20"/>
        </w:rPr>
        <w:t>sustained collaboration between schools, Universities, policy makers and organisations across the country to widen access and participation.</w:t>
      </w:r>
    </w:p>
    <w:p w:rsidR="009C21EC" w:rsidRPr="0015064A" w:rsidRDefault="009C21EC" w:rsidP="009C21EC">
      <w:pPr>
        <w:rPr>
          <w:rFonts w:ascii="Leelawadee" w:hAnsi="Leelawadee" w:cs="Leelawadee" w:hint="cs"/>
          <w:color w:val="000000" w:themeColor="text1"/>
          <w:sz w:val="20"/>
          <w:szCs w:val="20"/>
        </w:rPr>
      </w:pPr>
    </w:p>
    <w:p w:rsidR="009C21EC" w:rsidRPr="0015064A" w:rsidRDefault="009C21EC" w:rsidP="009C21EC">
      <w:pPr>
        <w:rPr>
          <w:rFonts w:ascii="Leelawadee" w:hAnsi="Leelawadee" w:cs="Leelawadee" w:hint="cs"/>
          <w:color w:val="000000" w:themeColor="text1"/>
          <w:sz w:val="20"/>
          <w:szCs w:val="20"/>
        </w:rPr>
      </w:pPr>
    </w:p>
    <w:p w:rsidR="009C21EC" w:rsidRPr="0015064A" w:rsidRDefault="009C21EC" w:rsidP="009C21EC">
      <w:pPr>
        <w:rPr>
          <w:rFonts w:ascii="Leelawadee" w:hAnsi="Leelawadee" w:cs="Leelawadee" w:hint="cs"/>
          <w:color w:val="000000" w:themeColor="text1"/>
          <w:sz w:val="20"/>
          <w:szCs w:val="20"/>
        </w:rPr>
      </w:pPr>
      <w:r w:rsidRPr="0015064A">
        <w:rPr>
          <w:rFonts w:ascii="Leelawadee" w:hAnsi="Leelawadee" w:cs="Leelawadee" w:hint="cs"/>
          <w:color w:val="000000" w:themeColor="text1"/>
          <w:sz w:val="20"/>
          <w:szCs w:val="20"/>
        </w:rPr>
        <w:t xml:space="preserve">Finally, the first Spring flowers are out and we are seeing more sun (but remember: “Ne’er cast a clout till May be out.”) </w:t>
      </w:r>
    </w:p>
    <w:p w:rsidR="009C21EC" w:rsidRPr="0015064A" w:rsidRDefault="009C21EC" w:rsidP="009C21EC">
      <w:pPr>
        <w:rPr>
          <w:rFonts w:ascii="Leelawadee" w:hAnsi="Leelawadee" w:cs="Leelawadee" w:hint="cs"/>
          <w:color w:val="000000" w:themeColor="text1"/>
          <w:sz w:val="20"/>
          <w:szCs w:val="20"/>
        </w:rPr>
      </w:pPr>
    </w:p>
    <w:p w:rsidR="009C21EC" w:rsidRPr="0015064A" w:rsidRDefault="009C21EC" w:rsidP="009C21EC">
      <w:pPr>
        <w:rPr>
          <w:rFonts w:ascii="Leelawadee" w:hAnsi="Leelawadee" w:cs="Leelawadee" w:hint="cs"/>
          <w:color w:val="000000" w:themeColor="text1"/>
          <w:sz w:val="20"/>
          <w:szCs w:val="20"/>
        </w:rPr>
      </w:pPr>
      <w:r w:rsidRPr="0015064A">
        <w:rPr>
          <w:rFonts w:ascii="Leelawadee" w:hAnsi="Leelawadee" w:cs="Leelawadee" w:hint="cs"/>
          <w:sz w:val="20"/>
          <w:szCs w:val="20"/>
        </w:rPr>
        <w:t xml:space="preserve">Andrew.  </w:t>
      </w:r>
      <w:r w:rsidRPr="0015064A">
        <w:rPr>
          <w:rFonts w:ascii="Leelawadee" w:hAnsi="Leelawadee" w:cs="Leelawadee" w:hint="cs"/>
          <w:sz w:val="20"/>
          <w:szCs w:val="20"/>
        </w:rPr>
        <w:tab/>
      </w:r>
    </w:p>
    <w:p w:rsidR="009C21EC" w:rsidRPr="00943559" w:rsidRDefault="009C21EC" w:rsidP="009C21EC">
      <w:pPr>
        <w:rPr>
          <w:rFonts w:ascii="Arial" w:hAnsi="Arial" w:cs="Arial"/>
          <w:color w:val="000000" w:themeColor="text1"/>
          <w:sz w:val="20"/>
          <w:szCs w:val="20"/>
        </w:rPr>
      </w:pPr>
      <w:r w:rsidRPr="005F12F2">
        <w:rPr>
          <w:rFonts w:ascii="Arial" w:hAnsi="Arial" w:cs="Arial"/>
          <w:sz w:val="20"/>
          <w:szCs w:val="20"/>
        </w:rPr>
        <w:tab/>
      </w:r>
    </w:p>
    <w:p w:rsidR="009C21EC" w:rsidRDefault="009C21EC"/>
    <w:sectPr w:rsidR="009C21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eelawadee">
    <w:panose1 w:val="020B0502040204020203"/>
    <w:charset w:val="DE"/>
    <w:family w:val="swiss"/>
    <w:pitch w:val="variable"/>
    <w:sig w:usb0="01000001"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E519F"/>
    <w:multiLevelType w:val="hybridMultilevel"/>
    <w:tmpl w:val="1B5E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EC"/>
    <w:rsid w:val="009C2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06FAB2"/>
  <w15:chartTrackingRefBased/>
  <w15:docId w15:val="{834E42BE-1058-1642-B94C-9757C4F4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1EC"/>
    <w:rPr>
      <w:b/>
      <w:color w:val="0E724C"/>
      <w:u w:val="single"/>
    </w:rPr>
  </w:style>
  <w:style w:type="paragraph" w:styleId="ListParagraph">
    <w:name w:val="List Paragraph"/>
    <w:aliases w:val="F5 List Paragraph,List Paragraph1,List Paragraph11,Bullet List,FooterText,Bullet 1,Bullet Points,Bullet Style,Colorful List - Accent 11,Dot pt,Indicator Text,List Paragraph Char Char Char,List Paragraph12,List Paragraph2,MAIN CONTENT"/>
    <w:basedOn w:val="Normal"/>
    <w:link w:val="ListParagraphChar"/>
    <w:uiPriority w:val="1"/>
    <w:qFormat/>
    <w:rsid w:val="009C21EC"/>
    <w:pPr>
      <w:ind w:left="720"/>
      <w:contextualSpacing/>
    </w:pPr>
    <w:rPr>
      <w:rFonts w:eastAsiaTheme="minorEastAsia"/>
      <w:kern w:val="0"/>
      <w:lang w:val="en-US"/>
      <w14:ligatures w14:val="none"/>
    </w:rPr>
  </w:style>
  <w:style w:type="character" w:customStyle="1" w:styleId="ListParagraphChar">
    <w:name w:val="List Paragraph Char"/>
    <w:aliases w:val="F5 List Paragraph Char,List Paragraph1 Char,List Paragraph11 Char,Bullet List Char,FooterText Char,Bullet 1 Char,Bullet Points Char,Bullet Style Char,Colorful List - Accent 11 Char,Dot pt Char,Indicator Text Char,List Paragraph2 Char"/>
    <w:link w:val="ListParagraph"/>
    <w:uiPriority w:val="1"/>
    <w:locked/>
    <w:rsid w:val="009C21EC"/>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foundation.org/upp-foundations-widening-participation-inquiry-recommends-triple-lock-target-for-access-to-higher-education/" TargetMode="External"/><Relationship Id="rId5" Type="http://schemas.openxmlformats.org/officeDocument/2006/relationships/hyperlink" Target="https://actiononaccess.org/our-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Rawson</dc:creator>
  <cp:keywords/>
  <dc:description/>
  <cp:lastModifiedBy>Andrew Rawson</cp:lastModifiedBy>
  <cp:revision>1</cp:revision>
  <dcterms:created xsi:type="dcterms:W3CDTF">2026-03-13T12:32:00Z</dcterms:created>
  <dcterms:modified xsi:type="dcterms:W3CDTF">2026-03-13T12:34:00Z</dcterms:modified>
</cp:coreProperties>
</file>